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65" w:rsidRPr="0024518B" w:rsidRDefault="00102D65" w:rsidP="00102D65">
      <w:pPr>
        <w:pStyle w:val="Default"/>
        <w:jc w:val="center"/>
        <w:rPr>
          <w:color w:val="auto"/>
          <w:sz w:val="28"/>
          <w:szCs w:val="28"/>
        </w:rPr>
      </w:pPr>
      <w:r w:rsidRPr="0024518B">
        <w:rPr>
          <w:b/>
          <w:bCs/>
          <w:color w:val="auto"/>
          <w:sz w:val="28"/>
          <w:szCs w:val="28"/>
        </w:rPr>
        <w:t>МИНИСТЕРСТВО ОБРАЗОВАНИЯ И НАУКИ МУРМАНСКОЙ ОБЛАСТИ</w:t>
      </w:r>
    </w:p>
    <w:p w:rsidR="00102D65" w:rsidRPr="0024518B" w:rsidRDefault="00102D65" w:rsidP="00102D65">
      <w:pPr>
        <w:pStyle w:val="Default"/>
        <w:jc w:val="center"/>
        <w:rPr>
          <w:color w:val="auto"/>
          <w:sz w:val="28"/>
          <w:szCs w:val="28"/>
        </w:rPr>
      </w:pPr>
      <w:r w:rsidRPr="0024518B">
        <w:rPr>
          <w:b/>
          <w:bCs/>
          <w:color w:val="auto"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 (ГАУДПО МО «ИРО»)</w:t>
      </w: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jc w:val="center"/>
        <w:rPr>
          <w:color w:val="auto"/>
          <w:sz w:val="28"/>
          <w:szCs w:val="28"/>
        </w:rPr>
      </w:pPr>
      <w:r w:rsidRPr="0024518B">
        <w:rPr>
          <w:b/>
          <w:bCs/>
          <w:color w:val="auto"/>
          <w:sz w:val="28"/>
          <w:szCs w:val="28"/>
        </w:rPr>
        <w:t>ЦЕНТР НЕПРЕРЫВНОГО ПОВЫШЕНИЯ ПРОФЕССИОНАЛЬНОГО МАСТЕРСТВА ПЕДАГОГИЧЕСКИХ РАБОТНИКОВ</w:t>
      </w: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rPr>
          <w:b/>
          <w:bCs/>
          <w:color w:val="auto"/>
          <w:sz w:val="28"/>
          <w:szCs w:val="28"/>
        </w:rPr>
      </w:pPr>
    </w:p>
    <w:p w:rsidR="00102D65" w:rsidRPr="0024518B" w:rsidRDefault="00102D65" w:rsidP="00102D65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r w:rsidRPr="0024518B">
        <w:rPr>
          <w:b/>
          <w:bCs/>
          <w:color w:val="auto"/>
          <w:sz w:val="28"/>
          <w:szCs w:val="28"/>
        </w:rPr>
        <w:t>АНА</w:t>
      </w:r>
      <w:bookmarkEnd w:id="0"/>
      <w:r w:rsidRPr="0024518B">
        <w:rPr>
          <w:b/>
          <w:bCs/>
          <w:color w:val="auto"/>
          <w:sz w:val="28"/>
          <w:szCs w:val="28"/>
        </w:rPr>
        <w:t>ЛИТИЧЕСК</w:t>
      </w:r>
      <w:r w:rsidRPr="0024518B">
        <w:rPr>
          <w:b/>
          <w:bCs/>
          <w:color w:val="auto"/>
          <w:sz w:val="28"/>
          <w:szCs w:val="28"/>
        </w:rPr>
        <w:t>АЯ</w:t>
      </w:r>
      <w:r w:rsidRPr="0024518B">
        <w:rPr>
          <w:b/>
          <w:bCs/>
          <w:color w:val="auto"/>
          <w:sz w:val="28"/>
          <w:szCs w:val="28"/>
        </w:rPr>
        <w:t xml:space="preserve"> </w:t>
      </w:r>
      <w:r w:rsidRPr="0024518B">
        <w:rPr>
          <w:b/>
          <w:bCs/>
          <w:color w:val="auto"/>
          <w:sz w:val="28"/>
          <w:szCs w:val="28"/>
        </w:rPr>
        <w:t>СПРАВКА</w:t>
      </w:r>
    </w:p>
    <w:p w:rsidR="00102D65" w:rsidRPr="0024518B" w:rsidRDefault="00102D65" w:rsidP="00102D6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4518B">
        <w:rPr>
          <w:b/>
          <w:bCs/>
          <w:color w:val="auto"/>
          <w:sz w:val="28"/>
          <w:szCs w:val="28"/>
        </w:rPr>
        <w:t xml:space="preserve">ПО РЕЗУЛЬТАТАМ </w:t>
      </w:r>
      <w:r w:rsidRPr="0024518B">
        <w:rPr>
          <w:b/>
          <w:bCs/>
          <w:color w:val="auto"/>
          <w:sz w:val="28"/>
          <w:szCs w:val="28"/>
        </w:rPr>
        <w:t>САМООЦЕНКИ ПЕДАГОГИЧЕСКИХ РАБОТНИКОВ МУРМАНСКОЙ ОБЛАСТИ</w:t>
      </w:r>
      <w:r w:rsidRPr="0024518B">
        <w:rPr>
          <w:b/>
          <w:bCs/>
          <w:color w:val="auto"/>
          <w:sz w:val="28"/>
          <w:szCs w:val="28"/>
        </w:rPr>
        <w:t xml:space="preserve">, ОСУЩЕСТВЛЯЮЩИХ ОБРАЗОВАТЕЛЬНУЮ ДЕЯТЕЛЬНОСТЬ ПО ОБРАЗОВАТЕЛЬНЫМ ПРОГРАММАМ ОБЩЕГО </w:t>
      </w:r>
    </w:p>
    <w:p w:rsidR="00102D65" w:rsidRPr="0024518B" w:rsidRDefault="00102D65" w:rsidP="00102D65">
      <w:pPr>
        <w:pStyle w:val="Default"/>
        <w:jc w:val="center"/>
        <w:rPr>
          <w:color w:val="auto"/>
          <w:sz w:val="28"/>
          <w:szCs w:val="28"/>
        </w:rPr>
      </w:pPr>
      <w:r w:rsidRPr="0024518B">
        <w:rPr>
          <w:b/>
          <w:bCs/>
          <w:color w:val="auto"/>
          <w:sz w:val="28"/>
          <w:szCs w:val="28"/>
        </w:rPr>
        <w:t>ОБРАЗОВАНИЯ</w:t>
      </w: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02D65" w:rsidRPr="0024518B" w:rsidRDefault="00102D65" w:rsidP="00102D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18B">
        <w:rPr>
          <w:rFonts w:ascii="Times New Roman" w:hAnsi="Times New Roman" w:cs="Times New Roman"/>
          <w:b/>
          <w:bCs/>
          <w:sz w:val="28"/>
          <w:szCs w:val="28"/>
        </w:rPr>
        <w:t>Мурманск 2024</w:t>
      </w:r>
    </w:p>
    <w:p w:rsidR="00102D65" w:rsidRPr="0024518B" w:rsidRDefault="00102D65" w:rsidP="00102D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421" w:rsidRPr="0024518B" w:rsidRDefault="00960421">
      <w:pPr>
        <w:rPr>
          <w:rFonts w:ascii="Times New Roman" w:hAnsi="Times New Roman" w:cs="Times New Roman"/>
          <w:sz w:val="28"/>
          <w:szCs w:val="28"/>
        </w:rPr>
      </w:pPr>
    </w:p>
    <w:p w:rsidR="00102D65" w:rsidRPr="0024518B" w:rsidRDefault="00102D65" w:rsidP="00102D65">
      <w:pPr>
        <w:spacing w:before="1"/>
        <w:ind w:left="1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2D65" w:rsidRPr="0024518B" w:rsidRDefault="00102D65" w:rsidP="00102D65">
      <w:pPr>
        <w:spacing w:before="1"/>
        <w:ind w:left="1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2D65" w:rsidRPr="00102D65" w:rsidRDefault="00102D65" w:rsidP="00785EDC">
      <w:pPr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24518B">
        <w:rPr>
          <w:rFonts w:ascii="Times New Roman" w:hAnsi="Times New Roman" w:cs="Times New Roman"/>
          <w:b/>
          <w:sz w:val="28"/>
          <w:szCs w:val="28"/>
        </w:rPr>
        <w:t>Сроки</w:t>
      </w:r>
      <w:r w:rsidRPr="0024518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4518B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24518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4518B">
        <w:rPr>
          <w:rFonts w:ascii="Times New Roman" w:hAnsi="Times New Roman" w:cs="Times New Roman"/>
          <w:sz w:val="28"/>
          <w:szCs w:val="28"/>
        </w:rPr>
        <w:t>апрель 2024 г.</w:t>
      </w:r>
    </w:p>
    <w:p w:rsidR="00102D65" w:rsidRPr="0024518B" w:rsidRDefault="00102D65" w:rsidP="00412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0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D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Цель диагностики: </w:t>
      </w:r>
      <w:r w:rsidR="00D62769" w:rsidRPr="0024518B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Pr="0024518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потребностей и </w:t>
      </w:r>
      <w:r w:rsidR="00D62769"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запросов</w:t>
      </w:r>
      <w:r w:rsidR="00D62769"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педагогических работников Мурманской области.</w:t>
      </w:r>
    </w:p>
    <w:p w:rsidR="00D62769" w:rsidRPr="00D62769" w:rsidRDefault="00D62769" w:rsidP="00412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2769" w:rsidRPr="00D62769" w:rsidRDefault="00D62769" w:rsidP="00412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76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Задачи: </w:t>
      </w:r>
    </w:p>
    <w:p w:rsidR="00D62769" w:rsidRPr="00D62769" w:rsidRDefault="00D62769" w:rsidP="004123DB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769">
        <w:rPr>
          <w:rFonts w:ascii="Times New Roman" w:hAnsi="Times New Roman" w:cs="Times New Roman"/>
          <w:color w:val="000000"/>
          <w:sz w:val="28"/>
          <w:szCs w:val="28"/>
        </w:rPr>
        <w:t xml:space="preserve">1. Выявить структурные компоненты профессиональных дефицитов педагогов. </w:t>
      </w:r>
    </w:p>
    <w:p w:rsidR="00D62769" w:rsidRPr="0024518B" w:rsidRDefault="00D62769" w:rsidP="004123DB">
      <w:pPr>
        <w:autoSpaceDE w:val="0"/>
        <w:autoSpaceDN w:val="0"/>
        <w:adjustRightInd w:val="0"/>
        <w:spacing w:after="55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6276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Планирование, ра</w:t>
      </w: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зработка и корректировка образовательных треков.</w:t>
      </w:r>
    </w:p>
    <w:p w:rsidR="00D62769" w:rsidRPr="0024518B" w:rsidRDefault="00D62769" w:rsidP="004123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3.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Совершенствование </w:t>
      </w:r>
      <w:r w:rsidRPr="00D627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о-методических </w:t>
      </w:r>
      <w:r w:rsidRPr="00D627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ЦНППМ.</w:t>
      </w:r>
    </w:p>
    <w:p w:rsidR="00D62769" w:rsidRPr="0024518B" w:rsidRDefault="00D62769" w:rsidP="004123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24518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Изучение и анализ целевой аудитории </w:t>
      </w:r>
      <w:r w:rsidR="00785EDC"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ЦНППМ ГАУДПО МО «ИРО»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выстраивания</w:t>
      </w:r>
      <w:r w:rsidR="00A34D40"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27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продуктивного взаимодействия в рамках </w:t>
      </w:r>
      <w:r w:rsidR="00785EDC"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целевой модели наставничества педагогических работников.</w:t>
      </w:r>
    </w:p>
    <w:p w:rsidR="00B5283C" w:rsidRPr="0024518B" w:rsidRDefault="00B5283C" w:rsidP="00B528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4518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1. </w:t>
      </w:r>
      <w:r w:rsidRPr="0024518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Описание Исследования</w:t>
      </w:r>
    </w:p>
    <w:p w:rsidR="00785EDC" w:rsidRPr="0024518B" w:rsidRDefault="00785EDC" w:rsidP="00B52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5EDC" w:rsidRPr="0024518B" w:rsidRDefault="00785EDC" w:rsidP="00F377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5E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Исследование является частью мониторинговых мероприятий, направленных на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5E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профессиональных дефицитов/профицитов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377C0"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потребностей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педагогических работников </w:t>
      </w:r>
      <w:r w:rsidR="00F377C0"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Мурманской области.</w:t>
      </w:r>
    </w:p>
    <w:p w:rsidR="00F377C0" w:rsidRPr="0024518B" w:rsidRDefault="00F377C0" w:rsidP="00F377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Диагностика проводилась на основании:</w:t>
      </w:r>
    </w:p>
    <w:p w:rsidR="00F377C0" w:rsidRPr="0024518B" w:rsidRDefault="00F377C0" w:rsidP="00F377C0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24518B">
        <w:rPr>
          <w:color w:val="1A1A1A"/>
          <w:sz w:val="28"/>
          <w:szCs w:val="28"/>
        </w:rPr>
        <w:t>-</w:t>
      </w:r>
      <w:r w:rsidRPr="0024518B">
        <w:rPr>
          <w:color w:val="333333"/>
          <w:sz w:val="28"/>
          <w:szCs w:val="28"/>
        </w:rPr>
        <w:t xml:space="preserve"> </w:t>
      </w:r>
      <w:r w:rsidRPr="0024518B">
        <w:rPr>
          <w:b w:val="0"/>
          <w:color w:val="333333"/>
          <w:sz w:val="28"/>
          <w:szCs w:val="28"/>
        </w:rPr>
        <w:t xml:space="preserve">Распоряжения </w:t>
      </w:r>
      <w:proofErr w:type="spellStart"/>
      <w:r w:rsidRPr="0024518B">
        <w:rPr>
          <w:b w:val="0"/>
          <w:color w:val="333333"/>
          <w:sz w:val="28"/>
          <w:szCs w:val="28"/>
        </w:rPr>
        <w:t>Минпросвещения</w:t>
      </w:r>
      <w:proofErr w:type="spellEnd"/>
      <w:r w:rsidRPr="0024518B">
        <w:rPr>
          <w:b w:val="0"/>
          <w:color w:val="333333"/>
          <w:sz w:val="28"/>
          <w:szCs w:val="28"/>
        </w:rPr>
        <w:t xml:space="preserve"> России от 27.08.2021 N Р-201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плана.</w:t>
      </w:r>
    </w:p>
    <w:p w:rsidR="00F377C0" w:rsidRPr="0024518B" w:rsidRDefault="00F377C0" w:rsidP="00F377C0">
      <w:pPr>
        <w:pStyle w:val="1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24518B">
        <w:rPr>
          <w:b w:val="0"/>
          <w:color w:val="333333"/>
          <w:sz w:val="28"/>
          <w:szCs w:val="28"/>
        </w:rPr>
        <w:t xml:space="preserve">-Приказа Министерства образования и науки Мурманской области «О региональной системе научно-методического сопровождения педагогических </w:t>
      </w:r>
      <w:r w:rsidRPr="0024518B">
        <w:rPr>
          <w:b w:val="0"/>
          <w:color w:val="333333"/>
          <w:sz w:val="28"/>
          <w:szCs w:val="28"/>
        </w:rPr>
        <w:lastRenderedPageBreak/>
        <w:t>работников и управленческих кадров Мурманской области» №605 от 31.03.2023 г.</w:t>
      </w:r>
    </w:p>
    <w:p w:rsidR="004123DB" w:rsidRPr="0024518B" w:rsidRDefault="00F377C0" w:rsidP="004123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37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Исследование проходило в форме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анкеты</w:t>
      </w:r>
      <w:r w:rsidRPr="00F377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Сбор ответов осуществлялся посредством тестовых форм, размещенных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4123DB" w:rsidRPr="004123D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Yandex</w:t>
      </w:r>
      <w:proofErr w:type="spellEnd"/>
      <w:r w:rsidR="004123DB" w:rsidRPr="00412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4123DB" w:rsidRPr="00412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Forms</w:t>
      </w:r>
      <w:proofErr w:type="spellEnd"/>
      <w:r w:rsidR="004123D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ссылке: </w:t>
      </w:r>
      <w:hyperlink r:id="rId5" w:history="1">
        <w:r w:rsidR="004123DB" w:rsidRPr="007715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https://cnppm.iro51.ru/issledovanie-kompetentsij/diagnosticheskie-materialy/samodiagnostika/299-samodiagnostika.html</w:t>
        </w:r>
      </w:hyperlink>
      <w:r w:rsid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86066F" w:rsidRPr="0024518B" w:rsidRDefault="0086066F" w:rsidP="008606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60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основу содержания заданий опросника были положены профессиональные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0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компетенции, трудовые действия, необходимые умения, знания педагогических работников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0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управленческих кадров, представленные в приказе Министерства труда и социальной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0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защиты Российской Федерации от 18.10.2013 № 544н «Об утверждении профессионального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606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 «Педагог (педагогическая деятельность в сфере дошкольного, начального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34D40"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общего, основного общего, среднего общего образования) (воспитатель, учитель)»</w:t>
      </w:r>
      <w:r w:rsidR="00A34D40"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A34D40" w:rsidRPr="0024518B" w:rsidRDefault="00A34D40" w:rsidP="008606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Опрос состоял из </w:t>
      </w: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трех</w:t>
      </w: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блоков</w:t>
      </w: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</w:p>
    <w:p w:rsidR="00A34D40" w:rsidRPr="0024518B" w:rsidRDefault="00A34D40" w:rsidP="00A34D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Создание образовательной среды и использование ее возможностей.</w:t>
      </w:r>
    </w:p>
    <w:p w:rsidR="00A34D40" w:rsidRPr="0024518B" w:rsidRDefault="00A34D40" w:rsidP="00A34D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Профессиональное развитие.</w:t>
      </w:r>
    </w:p>
    <w:p w:rsidR="00A34D40" w:rsidRPr="0024518B" w:rsidRDefault="00A34D40" w:rsidP="00A34D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Организация взаимодействия и общения.</w:t>
      </w:r>
    </w:p>
    <w:p w:rsidR="00A34D40" w:rsidRPr="0024518B" w:rsidRDefault="00A34D40" w:rsidP="00A34D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каждом блоке респондентам было предложено ответить на вопросы</w:t>
      </w: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отражающие:</w:t>
      </w:r>
    </w:p>
    <w:p w:rsidR="00A34D40" w:rsidRPr="0024518B" w:rsidRDefault="00A34D40" w:rsidP="00A34D4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«Профессиональные умения». Тестовые вопросы с возможностью оценить представленные профессиональные умения (общепрофессиональные, методические) по шкале от «2» до «5», где «2» -очень сильные затруднения; «3» -сильные затруднения; «4»-средняя степень затруднений; «5»-затруднения отсутствуют.</w:t>
      </w:r>
    </w:p>
    <w:p w:rsidR="00A34D40" w:rsidRPr="0024518B" w:rsidRDefault="00A34D40" w:rsidP="00A34D4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«Владение современными педагогическими технологиями».</w:t>
      </w:r>
    </w:p>
    <w:p w:rsidR="00A34D40" w:rsidRDefault="00A34D40" w:rsidP="00A34D40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«Коммуникативные и психолого-педагогические компетенции».</w:t>
      </w:r>
    </w:p>
    <w:p w:rsidR="004123DB" w:rsidRDefault="004123DB" w:rsidP="00412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23DB" w:rsidRDefault="004123DB" w:rsidP="00412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23DB" w:rsidRPr="004123DB" w:rsidRDefault="004123DB" w:rsidP="00412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5283C" w:rsidRPr="0024518B" w:rsidRDefault="0040772F" w:rsidP="0040772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4518B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>2. Состав участников</w:t>
      </w:r>
    </w:p>
    <w:p w:rsidR="00B5283C" w:rsidRPr="0024518B" w:rsidRDefault="00B5283C" w:rsidP="00A34D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A34D40" w:rsidRPr="0024518B" w:rsidRDefault="00A34D40" w:rsidP="004077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исследовании приняли участие</w:t>
      </w:r>
      <w:r w:rsidR="0040772F"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28 педагогов из 6 муниципальных образований (рис.1)</w:t>
      </w:r>
    </w:p>
    <w:p w:rsidR="0040772F" w:rsidRPr="0024518B" w:rsidRDefault="0040772F" w:rsidP="0040772F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24518B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Рисунок 1.</w:t>
      </w:r>
    </w:p>
    <w:p w:rsidR="0040772F" w:rsidRPr="0024518B" w:rsidRDefault="0040772F" w:rsidP="004077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772F" w:rsidRPr="0024518B" w:rsidRDefault="0040772F" w:rsidP="0040772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Целевая аудитория участников исследования была представлена</w:t>
      </w:r>
      <w:r w:rsidRPr="002451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учителями-предметниками. 14% участников анкетирования мужчины. </w:t>
      </w:r>
    </w:p>
    <w:p w:rsidR="0040772F" w:rsidRPr="0024518B" w:rsidRDefault="0040772F" w:rsidP="0040772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40772F" w:rsidRPr="0040772F" w:rsidRDefault="0040772F" w:rsidP="0040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</w:t>
      </w:r>
      <w:r w:rsidRPr="004077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Анализ результатов исследования педагогических работников</w:t>
      </w:r>
    </w:p>
    <w:p w:rsidR="0040772F" w:rsidRPr="0024518B" w:rsidRDefault="0040772F" w:rsidP="0040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0772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образовательных организаций</w:t>
      </w:r>
    </w:p>
    <w:p w:rsidR="003B6B55" w:rsidRPr="0024518B" w:rsidRDefault="003B6B55" w:rsidP="00407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B6B55" w:rsidRPr="0024518B" w:rsidRDefault="003B6B55" w:rsidP="003B6B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работников,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участвовавших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исследовании,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варьируется от 2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до 30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лет. Преобладающее количество участников исследования имеют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стаж работы в должности более 10</w:t>
      </w:r>
      <w:r w:rsidRPr="003B6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лет. </w:t>
      </w:r>
      <w:r w:rsid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опрошенных 1 молодой специалист и 2-е малоопытных (был большой перерыв в профессиональной деятельности).</w:t>
      </w:r>
    </w:p>
    <w:p w:rsidR="003B6B55" w:rsidRPr="0024518B" w:rsidRDefault="003B6B55" w:rsidP="003B6B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исследования были выявлены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6"/>
        <w:gridCol w:w="1166"/>
        <w:gridCol w:w="1223"/>
        <w:gridCol w:w="1217"/>
        <w:gridCol w:w="1693"/>
      </w:tblGrid>
      <w:tr w:rsidR="003B6B55" w:rsidRPr="0024518B" w:rsidTr="007A6AE8">
        <w:trPr>
          <w:trHeight w:val="160"/>
        </w:trPr>
        <w:tc>
          <w:tcPr>
            <w:tcW w:w="4046" w:type="dxa"/>
            <w:vMerge w:val="restart"/>
          </w:tcPr>
          <w:p w:rsidR="003B6B55" w:rsidRPr="0024518B" w:rsidRDefault="003B6B55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Аспекты педагогической деятельности</w:t>
            </w:r>
          </w:p>
        </w:tc>
        <w:tc>
          <w:tcPr>
            <w:tcW w:w="5299" w:type="dxa"/>
            <w:gridSpan w:val="4"/>
          </w:tcPr>
          <w:p w:rsidR="003B6B55" w:rsidRPr="0024518B" w:rsidRDefault="003B6B55" w:rsidP="003B6B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Степень затруднения</w:t>
            </w:r>
          </w:p>
        </w:tc>
      </w:tr>
      <w:tr w:rsidR="003B6B55" w:rsidRPr="0024518B" w:rsidTr="007A6AE8">
        <w:trPr>
          <w:trHeight w:val="160"/>
        </w:trPr>
        <w:tc>
          <w:tcPr>
            <w:tcW w:w="4046" w:type="dxa"/>
            <w:vMerge/>
          </w:tcPr>
          <w:p w:rsidR="003B6B55" w:rsidRPr="0024518B" w:rsidRDefault="003B6B55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</w:tcPr>
          <w:p w:rsidR="003B6B55" w:rsidRPr="0024518B" w:rsidRDefault="003B6B55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Очень сильная</w:t>
            </w:r>
          </w:p>
        </w:tc>
        <w:tc>
          <w:tcPr>
            <w:tcW w:w="1223" w:type="dxa"/>
          </w:tcPr>
          <w:p w:rsidR="003B6B55" w:rsidRPr="0024518B" w:rsidRDefault="003B6B55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Сильная </w:t>
            </w:r>
          </w:p>
        </w:tc>
        <w:tc>
          <w:tcPr>
            <w:tcW w:w="1217" w:type="dxa"/>
          </w:tcPr>
          <w:p w:rsidR="003B6B55" w:rsidRPr="0024518B" w:rsidRDefault="003B6B55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693" w:type="dxa"/>
          </w:tcPr>
          <w:p w:rsidR="003B6B55" w:rsidRPr="0024518B" w:rsidRDefault="007A6AE8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="003B6B55"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тсутству</w:t>
            </w: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ет </w:t>
            </w:r>
          </w:p>
        </w:tc>
      </w:tr>
      <w:tr w:rsidR="003B6B55" w:rsidRPr="0024518B" w:rsidTr="007A6AE8">
        <w:tc>
          <w:tcPr>
            <w:tcW w:w="4046" w:type="dxa"/>
          </w:tcPr>
          <w:p w:rsidR="003B6B55" w:rsidRPr="0024518B" w:rsidRDefault="003B6B55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Профессиональные умения</w:t>
            </w:r>
          </w:p>
        </w:tc>
        <w:tc>
          <w:tcPr>
            <w:tcW w:w="1166" w:type="dxa"/>
          </w:tcPr>
          <w:p w:rsidR="003B6B55" w:rsidRPr="0024518B" w:rsidRDefault="007A6AE8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1223" w:type="dxa"/>
          </w:tcPr>
          <w:p w:rsidR="003B6B55" w:rsidRPr="0024518B" w:rsidRDefault="007A6AE8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217" w:type="dxa"/>
          </w:tcPr>
          <w:p w:rsidR="003B6B55" w:rsidRPr="0024518B" w:rsidRDefault="007A6AE8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693" w:type="dxa"/>
          </w:tcPr>
          <w:p w:rsidR="003B6B55" w:rsidRPr="0024518B" w:rsidRDefault="007A6AE8" w:rsidP="003B6B5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32%</w:t>
            </w:r>
          </w:p>
        </w:tc>
      </w:tr>
      <w:tr w:rsidR="007A6AE8" w:rsidRPr="0024518B" w:rsidTr="007A6AE8">
        <w:tc>
          <w:tcPr>
            <w:tcW w:w="4046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Владение современными педагогическими технологиями</w:t>
            </w:r>
          </w:p>
        </w:tc>
        <w:tc>
          <w:tcPr>
            <w:tcW w:w="1166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1223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217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693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32%</w:t>
            </w:r>
          </w:p>
        </w:tc>
      </w:tr>
      <w:tr w:rsidR="007A6AE8" w:rsidRPr="0024518B" w:rsidTr="007A6AE8">
        <w:tc>
          <w:tcPr>
            <w:tcW w:w="4046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Коммуникативные</w:t>
            </w: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компетенции</w:t>
            </w:r>
          </w:p>
        </w:tc>
        <w:tc>
          <w:tcPr>
            <w:tcW w:w="1166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1223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217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693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32%</w:t>
            </w:r>
          </w:p>
        </w:tc>
      </w:tr>
      <w:tr w:rsidR="007A6AE8" w:rsidRPr="0024518B" w:rsidTr="007A6AE8">
        <w:tc>
          <w:tcPr>
            <w:tcW w:w="4046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Психолого-педагогические компетенции</w:t>
            </w:r>
          </w:p>
        </w:tc>
        <w:tc>
          <w:tcPr>
            <w:tcW w:w="1166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1223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217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693" w:type="dxa"/>
          </w:tcPr>
          <w:p w:rsidR="007A6AE8" w:rsidRPr="0024518B" w:rsidRDefault="007A6AE8" w:rsidP="007A6A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4518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32%</w:t>
            </w:r>
          </w:p>
        </w:tc>
      </w:tr>
    </w:tbl>
    <w:p w:rsidR="003B6B55" w:rsidRPr="003B6B55" w:rsidRDefault="003B6B55" w:rsidP="003B6B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6AE8" w:rsidRPr="0024518B" w:rsidRDefault="007A6AE8" w:rsidP="007A6A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1 педагог в анкете заявил об очень сильных затруднениях по всем аспектам педагогической деятельности. Достаточно высокий процент педагогических работников отметили среднюю степень затруднений в профессиональной деятельности. Среди дефицитов профессиональных компетенций по первому направлению отмечены:</w:t>
      </w:r>
    </w:p>
    <w:p w:rsidR="007A6AE8" w:rsidRPr="0024518B" w:rsidRDefault="007A6AE8" w:rsidP="007A6A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-умение обосновать выбор учебно-методической литературы;</w:t>
      </w:r>
    </w:p>
    <w:p w:rsidR="007A6AE8" w:rsidRPr="0024518B" w:rsidRDefault="007A6AE8" w:rsidP="007A6A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-умение ставить педагогические цели с учетом возрастных и индивидуальных особенностей обучающихся;</w:t>
      </w:r>
    </w:p>
    <w:p w:rsidR="00186DDF" w:rsidRPr="0024518B" w:rsidRDefault="00186DDF" w:rsidP="007A6A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-овладение содержанием новых программ.</w:t>
      </w:r>
    </w:p>
    <w:p w:rsidR="00186DDF" w:rsidRPr="0024518B" w:rsidRDefault="00186DDF" w:rsidP="007A6A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Около 20% педагогических работников не владеют современными образовательными технологиями. Около 50% педагогов не могут составить индивидуальный маршрут для работы с одаренными детьми и </w:t>
      </w:r>
      <w:r w:rsidR="0024518B"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подростками из группы риска; испытывают затруднения в принятии решений в сложных педагогических ситуациях.</w:t>
      </w:r>
    </w:p>
    <w:p w:rsidR="00186DDF" w:rsidRDefault="00186DDF" w:rsidP="00186D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Около 40% педагогов заявили о необходимости повышения своего профессионального уровня.</w:t>
      </w:r>
      <w:r w:rsidR="0024518B"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4518B" w:rsidRPr="004123DB" w:rsidRDefault="004123DB" w:rsidP="004123D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3.Выводы и рекомендации</w:t>
      </w:r>
    </w:p>
    <w:p w:rsidR="0024518B" w:rsidRPr="0024518B" w:rsidRDefault="0024518B" w:rsidP="00245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4518B" w:rsidRDefault="0024518B" w:rsidP="00245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исследования в части выявления профессиональных умений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владения современными педагогическими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технологиями выяснилось, что 32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% педагогов оценивают себя как владеющими теми или иными профессиональными умениями,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заявили об отсутствии у них профессиональных затруднений. 6 педагогов из 28 испытывают серьезные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затруднения в профессиональной деятельности, что сказывается на результатах работы.</w:t>
      </w:r>
    </w:p>
    <w:p w:rsidR="0024518B" w:rsidRPr="0024518B" w:rsidRDefault="0024518B" w:rsidP="009C60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данных, полученных в ходе исследования, и анализ результатов позволяет</w:t>
      </w:r>
      <w:r w:rsidR="009C60E4"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45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сделать следующие рекомендации:</w:t>
      </w:r>
    </w:p>
    <w:p w:rsidR="0024518B" w:rsidRPr="009C60E4" w:rsidRDefault="009C60E4" w:rsidP="009C60E4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ОО выстроить систему «горизонтального обучения».</w:t>
      </w:r>
    </w:p>
    <w:p w:rsidR="009C60E4" w:rsidRDefault="009C60E4" w:rsidP="009C60E4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Руководителям образовательных организаций системы общего образования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(заместителям директоров по учебной, методической работе), наставникам (в случае их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закрепления за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педагогом),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специалистам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ЦНППМ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азрабатывающим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индивидуальный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образовательный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маршрут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работников,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рекомендовать педагогам информационные, образовательные ресурсы, направленные на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и возможность практического применения материалов по вышеуказанным</w:t>
      </w:r>
      <w:r w:rsidRPr="009C60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C60E4" w:rsidRPr="004123DB" w:rsidRDefault="009C60E4" w:rsidP="004123D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Сотрудникам ЦНППМ ГАУДПО МО «ИРО» организовать серию интерактивных событий/мероприятий (например, </w:t>
      </w:r>
      <w:proofErr w:type="spellStart"/>
      <w:r w:rsidRP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видеолекции</w:t>
      </w:r>
      <w:proofErr w:type="spellEnd"/>
      <w:r w:rsidRP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консультации) и трансляцию их посредством официального сайта </w:t>
      </w:r>
      <w:r w:rsidR="004123DB" w:rsidRP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</w:t>
      </w:r>
      <w:r w:rsidRP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123DB" w:rsidRPr="004123DB" w:rsidRDefault="004123DB" w:rsidP="004123D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Методистам регионального методического актива организовать деятельность по формированию рабочих/проблемных групп с целью совместной работы педагогов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восполнению профессиональных дефицитов педагогических работников</w:t>
      </w:r>
      <w:r w:rsidRPr="004123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C60E4" w:rsidRPr="004123DB" w:rsidRDefault="009C60E4" w:rsidP="004123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4518B" w:rsidRPr="0040772F" w:rsidRDefault="0024518B" w:rsidP="00245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0772F" w:rsidRPr="0024518B" w:rsidRDefault="0040772F" w:rsidP="0040772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6066F" w:rsidRPr="00F377C0" w:rsidRDefault="0086066F" w:rsidP="0040772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377C0" w:rsidRPr="0024518B" w:rsidRDefault="00F377C0" w:rsidP="0040772F">
      <w:pPr>
        <w:pStyle w:val="1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F377C0" w:rsidRPr="00785EDC" w:rsidRDefault="00F377C0" w:rsidP="004077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85EDC" w:rsidRPr="00D62769" w:rsidRDefault="00785EDC" w:rsidP="00F377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02D65" w:rsidRPr="0024518B" w:rsidRDefault="00102D65">
      <w:pPr>
        <w:rPr>
          <w:rFonts w:ascii="Times New Roman" w:hAnsi="Times New Roman" w:cs="Times New Roman"/>
          <w:sz w:val="28"/>
          <w:szCs w:val="28"/>
        </w:rPr>
      </w:pPr>
    </w:p>
    <w:sectPr w:rsidR="00102D65" w:rsidRPr="0024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6CA"/>
    <w:multiLevelType w:val="hybridMultilevel"/>
    <w:tmpl w:val="E0164F0A"/>
    <w:lvl w:ilvl="0" w:tplc="5144019A">
      <w:start w:val="1"/>
      <w:numFmt w:val="decimal"/>
      <w:lvlText w:val="%1."/>
      <w:lvlJc w:val="left"/>
      <w:pPr>
        <w:ind w:left="1069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980ECB"/>
    <w:multiLevelType w:val="hybridMultilevel"/>
    <w:tmpl w:val="47BA194A"/>
    <w:lvl w:ilvl="0" w:tplc="23E8BC8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74CE8"/>
    <w:multiLevelType w:val="hybridMultilevel"/>
    <w:tmpl w:val="05DAD820"/>
    <w:lvl w:ilvl="0" w:tplc="D1C02C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65"/>
    <w:rsid w:val="00102D65"/>
    <w:rsid w:val="00186DDF"/>
    <w:rsid w:val="0024518B"/>
    <w:rsid w:val="003B6B55"/>
    <w:rsid w:val="0040772F"/>
    <w:rsid w:val="004123DB"/>
    <w:rsid w:val="00785EDC"/>
    <w:rsid w:val="007A6AE8"/>
    <w:rsid w:val="0086066F"/>
    <w:rsid w:val="00960421"/>
    <w:rsid w:val="009C60E4"/>
    <w:rsid w:val="00A34D40"/>
    <w:rsid w:val="00B5283C"/>
    <w:rsid w:val="00D62769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B2F7"/>
  <w15:chartTrackingRefBased/>
  <w15:docId w15:val="{FABC5145-A95B-40F4-9DB2-EA70F637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65"/>
  </w:style>
  <w:style w:type="paragraph" w:styleId="1">
    <w:name w:val="heading 1"/>
    <w:basedOn w:val="a"/>
    <w:link w:val="10"/>
    <w:uiPriority w:val="9"/>
    <w:qFormat/>
    <w:rsid w:val="00F37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7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606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4D40"/>
    <w:pPr>
      <w:ind w:left="720"/>
      <w:contextualSpacing/>
    </w:pPr>
  </w:style>
  <w:style w:type="table" w:styleId="a5">
    <w:name w:val="Table Grid"/>
    <w:basedOn w:val="a1"/>
    <w:uiPriority w:val="39"/>
    <w:rsid w:val="003B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cnppm.iro51.ru/issledovanie-kompetentsij/diagnosticheskie-materialy/samodiagnostika/299-samodiagnostika.html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анкетирования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42-4ED2-B534-92884276C7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42-4ED2-B534-92884276C7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42-4ED2-B534-92884276C7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42-4ED2-B534-92884276C7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542-4ED2-B534-92884276C79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542-4ED2-B534-92884276C7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Мурманск</c:v>
                </c:pt>
                <c:pt idx="1">
                  <c:v>Апатиты</c:v>
                </c:pt>
                <c:pt idx="2">
                  <c:v>Кировск</c:v>
                </c:pt>
                <c:pt idx="3">
                  <c:v>Мончегорск</c:v>
                </c:pt>
                <c:pt idx="4">
                  <c:v>Видяево</c:v>
                </c:pt>
                <c:pt idx="5">
                  <c:v>Североморск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7-420E-A887-6AF3DFC49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1</cp:revision>
  <dcterms:created xsi:type="dcterms:W3CDTF">2024-06-17T06:49:00Z</dcterms:created>
  <dcterms:modified xsi:type="dcterms:W3CDTF">2024-06-17T10:01:00Z</dcterms:modified>
</cp:coreProperties>
</file>